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5"/>
          <w:sz w:val="17"/>
          <w:szCs w:val="17"/>
        </w:rPr>
      </w:pPr>
      <w:r>
        <w:rPr>
          <w:rStyle w:val="5"/>
          <w:rFonts w:hint="eastAsia" w:ascii="微软雅黑" w:hAnsi="微软雅黑" w:eastAsia="微软雅黑" w:cs="微软雅黑"/>
          <w:i w:val="0"/>
          <w:caps w:val="0"/>
          <w:color w:val="333333"/>
          <w:spacing w:val="5"/>
          <w:sz w:val="16"/>
          <w:szCs w:val="16"/>
          <w:bdr w:val="none" w:color="auto" w:sz="0" w:space="0"/>
          <w:shd w:val="clear" w:fill="FFFFFF"/>
        </w:rPr>
        <w:t>国务院办公厅关于加快推进社会信用体系建设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5"/>
          <w:sz w:val="17"/>
          <w:szCs w:val="17"/>
        </w:rPr>
      </w:pPr>
      <w:bookmarkStart w:id="0" w:name="_GoBack"/>
      <w:r>
        <w:rPr>
          <w:rStyle w:val="5"/>
          <w:rFonts w:hint="eastAsia" w:ascii="微软雅黑" w:hAnsi="微软雅黑" w:eastAsia="微软雅黑" w:cs="微软雅黑"/>
          <w:i w:val="0"/>
          <w:caps w:val="0"/>
          <w:color w:val="333333"/>
          <w:spacing w:val="5"/>
          <w:sz w:val="16"/>
          <w:szCs w:val="16"/>
          <w:bdr w:val="none" w:color="auto" w:sz="0" w:space="0"/>
          <w:shd w:val="clear" w:fill="FFFFFF"/>
        </w:rPr>
        <w:t>构建以信用为基础的新型监管机制的指导意见</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国办发〔2019〕35号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为加强社会信用体系建设，深入推进“放管服”改革，进一步发挥信用在创新监管机制、提高监管能力和水平方面的基础性作用，更好激发市场主体活力，推动高质量发展，经国务院同意，现提出如下意见。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Style w:val="5"/>
          <w:rFonts w:hint="eastAsia" w:ascii="微软雅黑" w:hAnsi="微软雅黑" w:eastAsia="微软雅黑" w:cs="微软雅黑"/>
          <w:i w:val="0"/>
          <w:caps w:val="0"/>
          <w:color w:val="333333"/>
          <w:spacing w:val="5"/>
          <w:sz w:val="16"/>
          <w:szCs w:val="16"/>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Style w:val="5"/>
          <w:rFonts w:hint="eastAsia" w:ascii="微软雅黑" w:hAnsi="微软雅黑" w:eastAsia="微软雅黑" w:cs="微软雅黑"/>
          <w:i w:val="0"/>
          <w:caps w:val="0"/>
          <w:color w:val="333333"/>
          <w:spacing w:val="5"/>
          <w:sz w:val="16"/>
          <w:szCs w:val="16"/>
          <w:bdr w:val="none" w:color="auto" w:sz="0" w:space="0"/>
          <w:shd w:val="clear" w:fill="FFFFFF"/>
        </w:rPr>
        <w:t>二、创新事前环节信用监管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一）建立健全信用承诺制度。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作出信用承诺。支持行业协会商会建立健全行业内信用承诺制度，加强行业自律。（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二）探索开展经营者准入前诚信教育。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发展改革委、人民银行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Style w:val="5"/>
          <w:rFonts w:hint="eastAsia" w:ascii="微软雅黑" w:hAnsi="微软雅黑" w:eastAsia="微软雅黑" w:cs="微软雅黑"/>
          <w:i w:val="0"/>
          <w:caps w:val="0"/>
          <w:color w:val="333333"/>
          <w:spacing w:val="5"/>
          <w:sz w:val="16"/>
          <w:szCs w:val="16"/>
          <w:bdr w:val="none" w:color="auto" w:sz="0" w:space="0"/>
          <w:shd w:val="clear" w:fill="FFFFFF"/>
        </w:rPr>
        <w:t>三、加强事中环节信用监管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四）全面建立市场主体信用记录。根据权责清单建立信用信息采集目录，在办理注册登记、资质审核、日常监管、公共服务等过程中，及时、准确、全面记录市场主体信用行为，特别是将失信记录建档留痕，做到可查可核可溯。（各地区各部门按职责分别负责）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发展改革委、市场监管总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五）建立健全信用信息自愿注册机制。鼓励市场主体在“信用中国”网站或其他渠道上自愿注册资质证照、市场经营、合同履约、社会公益等信用信息，并对信息真实性公开作出信用承诺，授权网站对相关信息进行整合、共享与应用。经验证的自愿注册信息可作为开展信用评价和生成信用报告的重要依据。（发展改革委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六）深入开展公共信用综合评价。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发展改革委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七）大力推进信用分级分类监管。在充分掌握信用信息、综合研判信用状况的基础上，以公共信用综合评价结果、行业信用评价结果等为依据，对监管对象进行分级分类，根据信用等级高低采取差异化的监管措施。“双随机、一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Style w:val="5"/>
          <w:rFonts w:hint="eastAsia" w:ascii="微软雅黑" w:hAnsi="微软雅黑" w:eastAsia="微软雅黑" w:cs="微软雅黑"/>
          <w:i w:val="0"/>
          <w:caps w:val="0"/>
          <w:color w:val="333333"/>
          <w:spacing w:val="5"/>
          <w:sz w:val="16"/>
          <w:szCs w:val="16"/>
          <w:bdr w:val="none" w:color="auto" w:sz="0" w:space="0"/>
          <w:shd w:val="clear" w:fill="FFFFFF"/>
        </w:rPr>
        <w:t>四、完善事后环节信用监管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九）督促失信市场主体限期整改。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深入开展失信联合惩戒。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一）坚决依法依规实施市场和行业禁入措施。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二）依法追究违法失信责任。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三）探索建立信用修复机制。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惩戒措施。加快建立完善协同联动、一网通办机制，为失信市场主体提供高效便捷的信用修复服务。鼓励符合条件的第三方信用服务机构向失信市场主体提供信用报告、信用管理咨询等服务。（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Style w:val="5"/>
          <w:rFonts w:hint="eastAsia" w:ascii="微软雅黑" w:hAnsi="微软雅黑" w:eastAsia="微软雅黑" w:cs="微软雅黑"/>
          <w:i w:val="0"/>
          <w:caps w:val="0"/>
          <w:color w:val="333333"/>
          <w:spacing w:val="5"/>
          <w:sz w:val="16"/>
          <w:szCs w:val="16"/>
          <w:bdr w:val="none" w:color="auto" w:sz="0" w:space="0"/>
          <w:shd w:val="clear" w:fill="FFFFFF"/>
        </w:rPr>
        <w:t>五、强化信用监管的支撑保障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四）着力提升信用监管信息化建设水平。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发展改革委、国务院办公厅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五）大力推进信用监管信息公开公示。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六）充分发挥“互联网+”、大数据对信用监管的支撑作用。依托国家“互联网+监管”等系统，有效整合公共信用信息、市场信用信息、投诉举报信息和互联网及第三方相关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国务院办公厅、发展改革委、市场监管总局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七）切实加大信用信息安全和市场主体权益保护力度。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八）积极引导行业组织和信用服务机构协同监管。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发展改革委、民政部、人民银行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Style w:val="5"/>
          <w:rFonts w:hint="eastAsia" w:ascii="微软雅黑" w:hAnsi="微软雅黑" w:eastAsia="微软雅黑" w:cs="微软雅黑"/>
          <w:i w:val="0"/>
          <w:caps w:val="0"/>
          <w:color w:val="333333"/>
          <w:spacing w:val="5"/>
          <w:sz w:val="16"/>
          <w:szCs w:val="16"/>
          <w:bdr w:val="none" w:color="auto" w:sz="0" w:space="0"/>
          <w:shd w:val="clear" w:fill="FFFFFF"/>
        </w:rPr>
        <w:t>六、加强信用监管的组织实施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十九）加强组织领导。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二十）开展试点示范。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二十一）加快建章立制。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发展改革委、司法部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二十二）做好宣传解读。各地区各部门要通过各种渠道和形式，深入细致向市场主体做好政策宣传解读工作，让经营者充分理解并积极配合以信用为基础的新型监管措施。加强对基层和一线监管人员的指导和培训。组织新闻媒体广泛报道，积极宣传信用监管措施及其成效，营造良好社会氛围。（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33333"/>
          <w:spacing w:val="5"/>
          <w:sz w:val="16"/>
          <w:szCs w:val="16"/>
          <w:bdr w:val="none" w:color="auto" w:sz="0" w:space="0"/>
          <w:shd w:val="clear" w:fill="FFFFFF"/>
        </w:rPr>
        <w:t>2019年7月9日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465CF"/>
    <w:rsid w:val="3554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2019-07-16T09:42:00Z</dcterms:created>
  <dc:creator>自己人</dc:creator>
  <cp:lastModifiedBy>自己人</cp:lastModifiedBy>
  <dcterms:modified xsi:type="dcterms:W3CDTF">2019-07-16T09:45:57Z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